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1031960"/>
    <w:bookmarkEnd w:id="0"/>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holtgreife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B94FF85"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63A5B">
                              <w:rPr>
                                <w:rFonts w:ascii="Arial" w:hAnsi="Arial" w:cs="Arial"/>
                                <w:sz w:val="20"/>
                                <w:szCs w:val="20"/>
                              </w:rPr>
                              <w:t>Februar</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B94FF85"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63A5B">
                        <w:rPr>
                          <w:rFonts w:ascii="Arial" w:hAnsi="Arial" w:cs="Arial"/>
                          <w:sz w:val="20"/>
                          <w:szCs w:val="20"/>
                        </w:rPr>
                        <w:t>Februar</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012D4597" w14:textId="3CF6A0C6" w:rsidR="009D7880" w:rsidRDefault="00874839" w:rsidP="009D7880">
      <w:pPr>
        <w:spacing w:line="276" w:lineRule="auto"/>
        <w:rPr>
          <w:rFonts w:ascii="Arial" w:hAnsi="Arial" w:cs="Arial"/>
          <w:b/>
          <w:bCs/>
          <w:sz w:val="29"/>
          <w:szCs w:val="29"/>
        </w:rPr>
      </w:pPr>
      <w:r w:rsidRPr="00874839">
        <w:rPr>
          <w:rFonts w:ascii="Arial" w:hAnsi="Arial" w:cs="Arial"/>
          <w:b/>
          <w:bCs/>
          <w:sz w:val="29"/>
          <w:szCs w:val="29"/>
        </w:rPr>
        <w:t>Schiebe-Dreh-System Proline T</w:t>
      </w:r>
    </w:p>
    <w:p w14:paraId="19DF3699" w14:textId="18E88754" w:rsidR="00874839" w:rsidRPr="00874839" w:rsidRDefault="00874839" w:rsidP="009D7880">
      <w:pPr>
        <w:spacing w:line="276" w:lineRule="auto"/>
        <w:rPr>
          <w:rFonts w:ascii="Arial" w:hAnsi="Arial" w:cs="Arial"/>
        </w:rPr>
      </w:pPr>
      <w:r w:rsidRPr="00874839">
        <w:rPr>
          <w:rFonts w:ascii="Arial" w:hAnsi="Arial" w:cs="Arial"/>
        </w:rPr>
        <w:t>Modulare Systemfamilie für jede Bauaufgabe</w:t>
      </w:r>
    </w:p>
    <w:p w14:paraId="2223A110" w14:textId="77777777" w:rsidR="00555E60" w:rsidRPr="00FE3C44" w:rsidRDefault="00555E60" w:rsidP="009D7880">
      <w:pPr>
        <w:spacing w:line="276" w:lineRule="auto"/>
        <w:rPr>
          <w:rFonts w:ascii="Arial" w:hAnsi="Arial" w:cs="Arial"/>
          <w:b/>
          <w:bCs/>
          <w:sz w:val="29"/>
          <w:szCs w:val="29"/>
        </w:rPr>
      </w:pPr>
    </w:p>
    <w:p w14:paraId="4FF3B7CC" w14:textId="77777777" w:rsidR="00440715" w:rsidRDefault="00440715" w:rsidP="002D7006">
      <w:pPr>
        <w:spacing w:line="360" w:lineRule="auto"/>
        <w:rPr>
          <w:rFonts w:ascii="Arial" w:hAnsi="Arial" w:cs="Arial"/>
          <w:sz w:val="20"/>
          <w:szCs w:val="20"/>
        </w:rPr>
      </w:pPr>
    </w:p>
    <w:p w14:paraId="54CBA36B" w14:textId="77777777" w:rsidR="00874839" w:rsidRDefault="00874839" w:rsidP="00874839">
      <w:pPr>
        <w:spacing w:line="360" w:lineRule="auto"/>
        <w:rPr>
          <w:rFonts w:ascii="Arial" w:hAnsi="Arial" w:cs="Arial"/>
          <w:b/>
          <w:bCs/>
          <w:sz w:val="20"/>
          <w:szCs w:val="20"/>
        </w:rPr>
      </w:pPr>
      <w:r w:rsidRPr="00874839">
        <w:rPr>
          <w:rFonts w:ascii="Arial" w:hAnsi="Arial" w:cs="Arial"/>
          <w:b/>
          <w:bCs/>
          <w:sz w:val="20"/>
          <w:szCs w:val="20"/>
        </w:rPr>
        <w:t xml:space="preserve">Mit Proline T stellt Solarlux auf der BAU 2023 seine neueste Produktinnovation vor. Dabei handelt es sich um einen Systembaukasten der Schiebe-Dreh-Systeme „Proline T“ und „Proline T Mega“. Basierend auf den bewährten Vorgängersystemen bieten sie völlig neue technische Lösungen für effektiven Schallschutz und Windlastanforderungen – ohne gestalterische Aspekte zu vernachlässigen. </w:t>
      </w:r>
    </w:p>
    <w:p w14:paraId="0707FE0A" w14:textId="77777777" w:rsidR="00874839" w:rsidRPr="00874839" w:rsidRDefault="00874839" w:rsidP="00874839">
      <w:pPr>
        <w:spacing w:line="360" w:lineRule="auto"/>
        <w:rPr>
          <w:rFonts w:ascii="Arial" w:hAnsi="Arial" w:cs="Arial"/>
          <w:b/>
          <w:bCs/>
          <w:sz w:val="20"/>
          <w:szCs w:val="20"/>
        </w:rPr>
      </w:pPr>
    </w:p>
    <w:p w14:paraId="55AC151C" w14:textId="77777777" w:rsidR="00874839" w:rsidRPr="00874839" w:rsidRDefault="00874839" w:rsidP="00874839">
      <w:pPr>
        <w:spacing w:line="360" w:lineRule="auto"/>
        <w:rPr>
          <w:rFonts w:ascii="Arial" w:hAnsi="Arial" w:cs="Arial"/>
          <w:sz w:val="20"/>
          <w:szCs w:val="20"/>
        </w:rPr>
      </w:pPr>
      <w:r w:rsidRPr="00874839">
        <w:rPr>
          <w:rFonts w:ascii="Arial" w:hAnsi="Arial" w:cs="Arial"/>
          <w:sz w:val="20"/>
          <w:szCs w:val="20"/>
        </w:rPr>
        <w:t xml:space="preserve">Die neue Systemfamilie Proline T ist als modularer Baukasten konzipiert, mit dessen Komponenten die Produkteigenschaften gezielt auf die jeweilige Bauaufgabe zugeschnitten werden können. Durch den Einsatz von vorgefertigten Modulen wird nicht nur ein effizienter Baufortschritt, sondern auch eine hohe Termin- und Kostensicherheit sichergestellt. Das Spektrum der Anwendungen von Proline T ist breit gefächert und eignet sich für Neubau und Sanierungen. Wahlweise können bis zu 3 m hohe und 1 m breite Schiebe-Dreh-Elemente raumhoch ausgeführt oder auf den Balkonbrüstungen montiert werden. Durch das nutzerfreundliche Schiebe-Dreh-Prinzip ist dort dann eine fast 100-prozentige Öffnung der äußeren Gebäudehülle möglich. </w:t>
      </w:r>
    </w:p>
    <w:p w14:paraId="45B2C43D" w14:textId="77777777" w:rsidR="00874839" w:rsidRPr="00874839" w:rsidRDefault="00874839" w:rsidP="00874839">
      <w:pPr>
        <w:spacing w:line="360" w:lineRule="auto"/>
        <w:rPr>
          <w:rFonts w:ascii="Arial" w:hAnsi="Arial" w:cs="Arial"/>
          <w:sz w:val="20"/>
          <w:szCs w:val="20"/>
        </w:rPr>
      </w:pPr>
    </w:p>
    <w:p w14:paraId="761F35AB" w14:textId="77777777" w:rsidR="00874839" w:rsidRPr="00874839" w:rsidRDefault="00874839" w:rsidP="00874839">
      <w:pPr>
        <w:spacing w:line="360" w:lineRule="auto"/>
        <w:rPr>
          <w:rFonts w:ascii="Arial" w:hAnsi="Arial" w:cs="Arial"/>
          <w:b/>
          <w:bCs/>
          <w:sz w:val="20"/>
          <w:szCs w:val="20"/>
        </w:rPr>
      </w:pPr>
      <w:r w:rsidRPr="00874839">
        <w:rPr>
          <w:rFonts w:ascii="Arial" w:hAnsi="Arial" w:cs="Arial"/>
          <w:b/>
          <w:bCs/>
          <w:sz w:val="20"/>
          <w:szCs w:val="20"/>
        </w:rPr>
        <w:t>Gläser für hohe Anforderungen</w:t>
      </w:r>
    </w:p>
    <w:p w14:paraId="265AD556" w14:textId="77777777" w:rsidR="00874839" w:rsidRPr="00874839" w:rsidRDefault="00874839" w:rsidP="00874839">
      <w:pPr>
        <w:spacing w:line="360" w:lineRule="auto"/>
        <w:rPr>
          <w:rFonts w:ascii="Arial" w:hAnsi="Arial" w:cs="Arial"/>
          <w:sz w:val="20"/>
          <w:szCs w:val="20"/>
        </w:rPr>
      </w:pPr>
      <w:r w:rsidRPr="00874839">
        <w:rPr>
          <w:rFonts w:ascii="Arial" w:hAnsi="Arial" w:cs="Arial"/>
          <w:sz w:val="20"/>
          <w:szCs w:val="20"/>
        </w:rPr>
        <w:t>Die exzellenten Schallschutz- und Windlastwerte werden durch eine branchenweite Neuerung erreicht: Dank eines optimierten Systemprofils können Ein-Scheiben-</w:t>
      </w:r>
      <w:r w:rsidRPr="00874839">
        <w:rPr>
          <w:rFonts w:ascii="Arial" w:hAnsi="Arial" w:cs="Arial"/>
          <w:sz w:val="20"/>
          <w:szCs w:val="20"/>
        </w:rPr>
        <w:lastRenderedPageBreak/>
        <w:t xml:space="preserve">Sicherheitsgläser (ESG-H) mit Glasstärken bis 15 mm und Verbund-Sicherheitsgläser (VSG) bis 18 mm als Systemkomponenten angeboten werden. VSG kommen bei der Ausführung Proline T Mega immer dann zur Anwendung, wenn besonders hohe Windlastanforderungen bestehen. Für Standardlösungen bietet Proline T mit Glasstärken zwischen 6 und 12 mm (ESG, ESG-H) ebenfalls hervorragende bauphysikalische Werte.   </w:t>
      </w:r>
    </w:p>
    <w:p w14:paraId="05B71398" w14:textId="77777777" w:rsidR="00874839" w:rsidRPr="00874839" w:rsidRDefault="00874839" w:rsidP="00874839">
      <w:pPr>
        <w:spacing w:line="360" w:lineRule="auto"/>
        <w:rPr>
          <w:rFonts w:ascii="Arial" w:hAnsi="Arial" w:cs="Arial"/>
          <w:b/>
          <w:bCs/>
          <w:sz w:val="20"/>
          <w:szCs w:val="20"/>
        </w:rPr>
      </w:pPr>
    </w:p>
    <w:p w14:paraId="5B776F68" w14:textId="77777777" w:rsidR="00874839" w:rsidRPr="00874839" w:rsidRDefault="00874839" w:rsidP="00874839">
      <w:pPr>
        <w:spacing w:line="360" w:lineRule="auto"/>
        <w:rPr>
          <w:rFonts w:ascii="Arial" w:hAnsi="Arial" w:cs="Arial"/>
          <w:b/>
          <w:bCs/>
          <w:sz w:val="20"/>
          <w:szCs w:val="20"/>
        </w:rPr>
      </w:pPr>
      <w:r w:rsidRPr="00874839">
        <w:rPr>
          <w:rFonts w:ascii="Arial" w:hAnsi="Arial" w:cs="Arial"/>
          <w:b/>
          <w:bCs/>
          <w:sz w:val="20"/>
          <w:szCs w:val="20"/>
        </w:rPr>
        <w:t>Schallschutz im Systembaukasten</w:t>
      </w:r>
    </w:p>
    <w:p w14:paraId="0FF9C3AC" w14:textId="77777777" w:rsidR="00874839" w:rsidRPr="00874839" w:rsidRDefault="00874839" w:rsidP="00874839">
      <w:pPr>
        <w:spacing w:line="360" w:lineRule="auto"/>
        <w:rPr>
          <w:rFonts w:ascii="Arial" w:hAnsi="Arial" w:cs="Arial"/>
          <w:sz w:val="20"/>
          <w:szCs w:val="20"/>
        </w:rPr>
      </w:pPr>
      <w:r w:rsidRPr="00874839">
        <w:rPr>
          <w:rFonts w:ascii="Arial" w:hAnsi="Arial" w:cs="Arial"/>
          <w:sz w:val="20"/>
          <w:szCs w:val="20"/>
        </w:rPr>
        <w:t xml:space="preserve">Die Schallschutzleistung von Proline T erreicht in der höchsten Ausbaustufe einen verbesserten Rw-Wert von ca. 30 dB. Die höheren Schalldämmwerte werden durch die Glasstärken sowie zusätzliche Ausstattungsoptionen erreicht – wie Schallschutzfolien, Profilanschlüsse oder Bürstendichtungen mit Kunststoffbelag. Für noch höhere Schallschutzwerte sind Glaselemente mit umlaufenden Aluminium-Profilen in allen Glasstärken und mit beiden Proline-T-Ausführungen erhältlich.  </w:t>
      </w:r>
    </w:p>
    <w:p w14:paraId="7BD45D9F" w14:textId="77777777" w:rsidR="00874839" w:rsidRPr="00874839" w:rsidRDefault="00874839" w:rsidP="00874839">
      <w:pPr>
        <w:spacing w:line="360" w:lineRule="auto"/>
        <w:rPr>
          <w:rFonts w:ascii="Arial" w:hAnsi="Arial" w:cs="Arial"/>
          <w:sz w:val="20"/>
          <w:szCs w:val="20"/>
        </w:rPr>
      </w:pPr>
    </w:p>
    <w:p w14:paraId="1D18892F" w14:textId="77777777" w:rsidR="00874839" w:rsidRPr="00874839" w:rsidRDefault="00874839" w:rsidP="00874839">
      <w:pPr>
        <w:spacing w:line="360" w:lineRule="auto"/>
        <w:rPr>
          <w:rFonts w:ascii="Arial" w:hAnsi="Arial" w:cs="Arial"/>
          <w:b/>
          <w:bCs/>
          <w:sz w:val="20"/>
          <w:szCs w:val="20"/>
        </w:rPr>
      </w:pPr>
      <w:r w:rsidRPr="00874839">
        <w:rPr>
          <w:rFonts w:ascii="Arial" w:hAnsi="Arial" w:cs="Arial"/>
          <w:b/>
          <w:bCs/>
          <w:sz w:val="20"/>
          <w:szCs w:val="20"/>
        </w:rPr>
        <w:t>Filigrane Profilgeometrie</w:t>
      </w:r>
    </w:p>
    <w:p w14:paraId="1A56A2E1" w14:textId="5153A39E" w:rsidR="002F1281" w:rsidRDefault="00874839" w:rsidP="00874839">
      <w:pPr>
        <w:spacing w:line="360" w:lineRule="auto"/>
        <w:rPr>
          <w:rFonts w:ascii="Arial" w:hAnsi="Arial" w:cs="Arial"/>
          <w:sz w:val="20"/>
          <w:szCs w:val="20"/>
        </w:rPr>
      </w:pPr>
      <w:r w:rsidRPr="00874839">
        <w:rPr>
          <w:rFonts w:ascii="Arial" w:hAnsi="Arial" w:cs="Arial"/>
          <w:sz w:val="20"/>
          <w:szCs w:val="20"/>
        </w:rPr>
        <w:t>Durch eine Optimierung des Profilsystems konnte Solarlux deren Ansichtsbreiten um ein Drittel reduzieren und so mehr Flexibilität bei der Gestaltung von Fassadenansichten ermöglichen. Die Profilbreite liegt bei nur 30 mm. Um hohen Sicherheitsstandards zu entsprechen, ist die verdeckt liegende Glassicherung so konzipiert, dass Glas- und Metallbauteile nicht miteinander in Kontakt kommen. Höhenausgleichsprofile kompensieren Toleranzen und Bausetzungen. Für den kreislaufgerechten Einsatz der Produkte wurden die gängigsten Alu-Profile von Proline T ohne Klebstoffe hergestellt – sie lassen sich im Zuge eines Rückbaus mühelos trennen und dem Wertstoffkreislauf wieder zuführen. Die EPD-Umwelt-Produktdeklaration sowie die ETA-Zertifizierung der neuen Systeme liegen ab Mitte 2023 vor.</w:t>
      </w:r>
    </w:p>
    <w:p w14:paraId="1D71F8CA" w14:textId="77777777" w:rsidR="00874839" w:rsidRDefault="00874839" w:rsidP="00874839">
      <w:pPr>
        <w:spacing w:line="276" w:lineRule="auto"/>
        <w:rPr>
          <w:rFonts w:ascii="Arial" w:hAnsi="Arial" w:cs="Arial"/>
          <w:b/>
          <w:bCs/>
          <w:sz w:val="20"/>
          <w:szCs w:val="20"/>
        </w:rPr>
      </w:pPr>
    </w:p>
    <w:p w14:paraId="4A49940C" w14:textId="216E2A39" w:rsidR="009D7880" w:rsidRPr="00FE3C44" w:rsidRDefault="00446DA7" w:rsidP="009D7880">
      <w:pPr>
        <w:spacing w:line="276" w:lineRule="auto"/>
        <w:rPr>
          <w:rStyle w:val="Hyperlink"/>
          <w:rFonts w:ascii="Arial" w:hAnsi="Arial" w:cs="Arial"/>
          <w:b/>
          <w:bCs/>
          <w:color w:val="auto"/>
          <w:sz w:val="20"/>
          <w:szCs w:val="20"/>
          <w:u w:val="none"/>
        </w:rPr>
      </w:pPr>
      <w:hyperlink r:id="rId17" w:history="1">
        <w:r w:rsidRPr="00EB6C0F">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2D2B2DA3" w14:textId="77777777" w:rsidR="00874839" w:rsidRDefault="00874839">
      <w:pPr>
        <w:spacing w:after="160" w:line="259" w:lineRule="auto"/>
        <w:rPr>
          <w:rFonts w:ascii="Arial" w:eastAsia="Arial" w:hAnsi="Arial" w:cs="Arial"/>
          <w:bCs/>
          <w:u w:val="single"/>
        </w:rPr>
      </w:pPr>
      <w:r>
        <w:rPr>
          <w:rFonts w:ascii="Arial" w:eastAsia="Arial" w:hAnsi="Arial" w:cs="Arial"/>
          <w:bCs/>
          <w:u w:val="single"/>
        </w:rPr>
        <w:br w:type="page"/>
      </w:r>
    </w:p>
    <w:p w14:paraId="40D98CFD" w14:textId="6BDD8B05" w:rsidR="006B4044" w:rsidRDefault="00874839" w:rsidP="00B14FA6">
      <w:pPr>
        <w:widowControl w:val="0"/>
        <w:spacing w:line="360" w:lineRule="auto"/>
        <w:ind w:right="-284"/>
        <w:rPr>
          <w:rFonts w:ascii="Arial" w:eastAsia="Arial" w:hAnsi="Arial" w:cs="Arial"/>
          <w:bCs/>
          <w:u w:val="single"/>
        </w:rPr>
      </w:pPr>
      <w:r w:rsidRPr="00874839">
        <w:rPr>
          <w:rFonts w:ascii="Arial" w:eastAsia="Arial" w:hAnsi="Arial" w:cs="Arial"/>
          <w:bCs/>
          <w:u w:val="single"/>
        </w:rPr>
        <w:lastRenderedPageBreak/>
        <w:t>Bildmaterial</w:t>
      </w:r>
    </w:p>
    <w:p w14:paraId="683DA209" w14:textId="77777777" w:rsidR="00874839" w:rsidRPr="00874839" w:rsidRDefault="00874839" w:rsidP="00B14FA6">
      <w:pPr>
        <w:widowControl w:val="0"/>
        <w:spacing w:line="360" w:lineRule="auto"/>
        <w:ind w:right="-284"/>
        <w:rPr>
          <w:rFonts w:ascii="Arial" w:eastAsia="Arial" w:hAnsi="Arial" w:cs="Arial"/>
          <w:bCs/>
          <w:u w:val="single"/>
        </w:rPr>
      </w:pPr>
    </w:p>
    <w:p w14:paraId="538D4392" w14:textId="24FBCCEB" w:rsidR="00874839" w:rsidRDefault="00874839" w:rsidP="00B14FA6">
      <w:pPr>
        <w:widowControl w:val="0"/>
        <w:spacing w:line="360" w:lineRule="auto"/>
        <w:ind w:right="-284"/>
        <w:rPr>
          <w:rFonts w:ascii="Arial" w:eastAsia="Arial" w:hAnsi="Arial" w:cs="Arial"/>
          <w:bCs/>
          <w:sz w:val="20"/>
          <w:szCs w:val="20"/>
          <w:u w:val="single"/>
        </w:rPr>
      </w:pPr>
      <w:r>
        <w:rPr>
          <w:noProof/>
        </w:rPr>
        <w:drawing>
          <wp:inline distT="0" distB="0" distL="0" distR="0" wp14:anchorId="6AF12065" wp14:editId="07137113">
            <wp:extent cx="2628900" cy="2628900"/>
            <wp:effectExtent l="0" t="0" r="0" b="0"/>
            <wp:docPr id="311523091" name="Grafik 311523091" descr="Ein Bild, das draußen, Himmel, Gras, Apartment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außen, Himmel, Gras, Apartmentgebäude enthält.&#10;&#10;Automatisch generierte Beschreibung"/>
                    <pic:cNvPicPr/>
                  </pic:nvPicPr>
                  <pic:blipFill>
                    <a:blip r:embed="rId18" cstate="screen">
                      <a:extLst>
                        <a:ext uri="{28A0092B-C50C-407E-A947-70E740481C1C}">
                          <a14:useLocalDpi xmlns:a14="http://schemas.microsoft.com/office/drawing/2010/main"/>
                        </a:ext>
                      </a:extLst>
                    </a:blip>
                    <a:stretch>
                      <a:fillRect/>
                    </a:stretch>
                  </pic:blipFill>
                  <pic:spPr>
                    <a:xfrm>
                      <a:off x="0" y="0"/>
                      <a:ext cx="2629219" cy="2629219"/>
                    </a:xfrm>
                    <a:prstGeom prst="rect">
                      <a:avLst/>
                    </a:prstGeom>
                  </pic:spPr>
                </pic:pic>
              </a:graphicData>
            </a:graphic>
          </wp:inline>
        </w:drawing>
      </w:r>
    </w:p>
    <w:p w14:paraId="07B2C9B8" w14:textId="00EB654F" w:rsidR="00874839" w:rsidRDefault="00874839" w:rsidP="00B14FA6">
      <w:pPr>
        <w:widowControl w:val="0"/>
        <w:spacing w:line="360" w:lineRule="auto"/>
        <w:ind w:right="-284"/>
        <w:rPr>
          <w:rFonts w:ascii="Arial" w:eastAsia="Arial" w:hAnsi="Arial" w:cs="Arial"/>
          <w:bCs/>
          <w:sz w:val="20"/>
          <w:szCs w:val="20"/>
        </w:rPr>
      </w:pPr>
      <w:r w:rsidRPr="00874839">
        <w:rPr>
          <w:rFonts w:ascii="Arial" w:eastAsia="Arial" w:hAnsi="Arial" w:cs="Arial"/>
          <w:b/>
          <w:sz w:val="20"/>
          <w:szCs w:val="20"/>
        </w:rPr>
        <w:t xml:space="preserve">Solarlux-Schiebe-Dreh-System-Proline-T-Ansicht-Holzfassade.jpg: </w:t>
      </w:r>
      <w:r w:rsidRPr="00874839">
        <w:rPr>
          <w:rFonts w:ascii="Arial" w:eastAsia="Arial" w:hAnsi="Arial" w:cs="Arial"/>
          <w:bCs/>
          <w:sz w:val="20"/>
          <w:szCs w:val="20"/>
        </w:rPr>
        <w:t>Weniger Profil, mehr Schallschutz: Proline T ist die neue Generation puristischer Ganzglas-Hüllen für Balkone und Fassaden. ©Alek Pluta</w:t>
      </w:r>
    </w:p>
    <w:p w14:paraId="558F84A9" w14:textId="3C1F4F8A" w:rsidR="00874839" w:rsidRDefault="00874839" w:rsidP="00B14FA6">
      <w:pPr>
        <w:widowControl w:val="0"/>
        <w:spacing w:line="360" w:lineRule="auto"/>
        <w:ind w:right="-284"/>
        <w:rPr>
          <w:rFonts w:ascii="Arial" w:eastAsia="Arial" w:hAnsi="Arial" w:cs="Arial"/>
          <w:bCs/>
          <w:sz w:val="20"/>
          <w:szCs w:val="20"/>
        </w:rPr>
      </w:pPr>
      <w:r>
        <w:rPr>
          <w:noProof/>
        </w:rPr>
        <w:drawing>
          <wp:inline distT="0" distB="0" distL="0" distR="0" wp14:anchorId="183B23E6" wp14:editId="39C9E75E">
            <wp:extent cx="2583180" cy="2583180"/>
            <wp:effectExtent l="0" t="0" r="7620" b="7620"/>
            <wp:docPr id="29617206" name="Grafik 29617206" descr="Ein Bild, das Gebäude, Bereich, Ste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Gebäude, Bereich, Stein enthält.&#10;&#10;Automatisch generierte Beschreibung"/>
                    <pic:cNvPicPr/>
                  </pic:nvPicPr>
                  <pic:blipFill>
                    <a:blip r:embed="rId19" cstate="screen">
                      <a:extLst>
                        <a:ext uri="{28A0092B-C50C-407E-A947-70E740481C1C}">
                          <a14:useLocalDpi xmlns:a14="http://schemas.microsoft.com/office/drawing/2010/main"/>
                        </a:ext>
                      </a:extLst>
                    </a:blip>
                    <a:stretch>
                      <a:fillRect/>
                    </a:stretch>
                  </pic:blipFill>
                  <pic:spPr>
                    <a:xfrm>
                      <a:off x="0" y="0"/>
                      <a:ext cx="2583493" cy="2583493"/>
                    </a:xfrm>
                    <a:prstGeom prst="rect">
                      <a:avLst/>
                    </a:prstGeom>
                  </pic:spPr>
                </pic:pic>
              </a:graphicData>
            </a:graphic>
          </wp:inline>
        </w:drawing>
      </w:r>
    </w:p>
    <w:p w14:paraId="1C7367EB" w14:textId="1498149C" w:rsidR="00874839" w:rsidRDefault="00874839" w:rsidP="00B14FA6">
      <w:pPr>
        <w:widowControl w:val="0"/>
        <w:spacing w:line="360" w:lineRule="auto"/>
        <w:ind w:right="-284"/>
        <w:rPr>
          <w:rFonts w:ascii="Arial" w:eastAsia="Arial" w:hAnsi="Arial" w:cs="Arial"/>
          <w:bCs/>
          <w:sz w:val="20"/>
          <w:szCs w:val="20"/>
        </w:rPr>
      </w:pPr>
      <w:r w:rsidRPr="00874839">
        <w:rPr>
          <w:rFonts w:ascii="Arial" w:eastAsia="Arial" w:hAnsi="Arial" w:cs="Arial"/>
          <w:b/>
          <w:sz w:val="20"/>
          <w:szCs w:val="20"/>
        </w:rPr>
        <w:t xml:space="preserve">Solarlux-Schiebe-Dreh-System-Proline-T-Innenansicht.jpg: </w:t>
      </w:r>
      <w:r w:rsidRPr="00874839">
        <w:rPr>
          <w:rFonts w:ascii="Arial" w:eastAsia="Arial" w:hAnsi="Arial" w:cs="Arial"/>
          <w:bCs/>
          <w:sz w:val="20"/>
          <w:szCs w:val="20"/>
        </w:rPr>
        <w:t>Dank eines Systembaukastens können die Produkteigenschaften der Schiebe-Dreh-Elemente individuell auf jegliche Anforderungen abgestimmt werden.  ©Alek Pluta</w:t>
      </w:r>
    </w:p>
    <w:p w14:paraId="327962A6" w14:textId="77777777" w:rsidR="00874839" w:rsidRDefault="00874839" w:rsidP="00B14FA6">
      <w:pPr>
        <w:widowControl w:val="0"/>
        <w:spacing w:line="360" w:lineRule="auto"/>
        <w:ind w:right="-284"/>
        <w:rPr>
          <w:rFonts w:ascii="Arial" w:eastAsia="Arial" w:hAnsi="Arial" w:cs="Arial"/>
          <w:bCs/>
          <w:sz w:val="20"/>
          <w:szCs w:val="20"/>
        </w:rPr>
      </w:pPr>
    </w:p>
    <w:p w14:paraId="6A61CB45" w14:textId="56C0BB41" w:rsidR="00874839" w:rsidRDefault="00874839" w:rsidP="00B14FA6">
      <w:pPr>
        <w:widowControl w:val="0"/>
        <w:spacing w:line="360" w:lineRule="auto"/>
        <w:ind w:right="-284"/>
        <w:rPr>
          <w:rFonts w:ascii="Arial" w:eastAsia="Arial" w:hAnsi="Arial" w:cs="Arial"/>
          <w:bCs/>
          <w:sz w:val="20"/>
          <w:szCs w:val="20"/>
        </w:rPr>
      </w:pPr>
      <w:r>
        <w:rPr>
          <w:noProof/>
        </w:rPr>
        <w:drawing>
          <wp:inline distT="0" distB="0" distL="0" distR="0" wp14:anchorId="3ADC8747" wp14:editId="3FDD7E0D">
            <wp:extent cx="2758440" cy="2758440"/>
            <wp:effectExtent l="0" t="0" r="3810" b="3810"/>
            <wp:docPr id="5" name="Grafik 5" descr="Ein Bild, das Himmel, draußen, Straße,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Himmel, draußen, Straße, Gebäude enthält.&#10;&#10;Automatisch generierte Beschreibung"/>
                    <pic:cNvPicPr/>
                  </pic:nvPicPr>
                  <pic:blipFill>
                    <a:blip r:embed="rId20" cstate="screen">
                      <a:extLst>
                        <a:ext uri="{28A0092B-C50C-407E-A947-70E740481C1C}">
                          <a14:useLocalDpi xmlns:a14="http://schemas.microsoft.com/office/drawing/2010/main"/>
                        </a:ext>
                      </a:extLst>
                    </a:blip>
                    <a:stretch>
                      <a:fillRect/>
                    </a:stretch>
                  </pic:blipFill>
                  <pic:spPr>
                    <a:xfrm>
                      <a:off x="0" y="0"/>
                      <a:ext cx="2758776" cy="2758776"/>
                    </a:xfrm>
                    <a:prstGeom prst="rect">
                      <a:avLst/>
                    </a:prstGeom>
                  </pic:spPr>
                </pic:pic>
              </a:graphicData>
            </a:graphic>
          </wp:inline>
        </w:drawing>
      </w:r>
    </w:p>
    <w:p w14:paraId="7ED12D3F" w14:textId="3C160B00" w:rsidR="00874839" w:rsidRDefault="00874839" w:rsidP="00B14FA6">
      <w:pPr>
        <w:widowControl w:val="0"/>
        <w:spacing w:line="360" w:lineRule="auto"/>
        <w:ind w:right="-284"/>
        <w:rPr>
          <w:rFonts w:ascii="Arial" w:eastAsia="Arial" w:hAnsi="Arial" w:cs="Arial"/>
          <w:bCs/>
          <w:sz w:val="20"/>
          <w:szCs w:val="20"/>
        </w:rPr>
      </w:pPr>
      <w:r w:rsidRPr="00874839">
        <w:rPr>
          <w:rFonts w:ascii="Arial" w:eastAsia="Arial" w:hAnsi="Arial" w:cs="Arial"/>
          <w:b/>
          <w:sz w:val="20"/>
          <w:szCs w:val="20"/>
        </w:rPr>
        <w:t>Solarlux-Schiebe-Dreh-System-Proline-T-Ansicht-Glasfassade.jpg:</w:t>
      </w:r>
      <w:r w:rsidRPr="00874839">
        <w:rPr>
          <w:rFonts w:ascii="Arial" w:eastAsia="Arial" w:hAnsi="Arial" w:cs="Arial"/>
          <w:bCs/>
          <w:sz w:val="20"/>
          <w:szCs w:val="20"/>
        </w:rPr>
        <w:t xml:space="preserve"> Variabler Einbau: Die rahmenlosen Schiebe-Dreh-Elemente können raumhoch ausgeführt sowie auf neue oder bestehende Balkonbrüstungen montiert werden. © Alek Pluta</w:t>
      </w:r>
    </w:p>
    <w:p w14:paraId="63132502" w14:textId="77777777" w:rsidR="00874839" w:rsidRDefault="00874839" w:rsidP="00B14FA6">
      <w:pPr>
        <w:widowControl w:val="0"/>
        <w:spacing w:line="360" w:lineRule="auto"/>
        <w:ind w:right="-284"/>
        <w:rPr>
          <w:rFonts w:ascii="Arial" w:eastAsia="Arial" w:hAnsi="Arial" w:cs="Arial"/>
          <w:bCs/>
          <w:sz w:val="20"/>
          <w:szCs w:val="20"/>
        </w:rPr>
      </w:pPr>
    </w:p>
    <w:p w14:paraId="7DB55635" w14:textId="77777777" w:rsidR="00874839" w:rsidRDefault="00874839" w:rsidP="00B14FA6">
      <w:pPr>
        <w:widowControl w:val="0"/>
        <w:spacing w:line="360" w:lineRule="auto"/>
        <w:ind w:right="-284"/>
        <w:rPr>
          <w:rFonts w:ascii="Arial" w:eastAsia="Arial" w:hAnsi="Arial" w:cs="Arial"/>
          <w:bCs/>
          <w:sz w:val="20"/>
          <w:szCs w:val="20"/>
        </w:rPr>
      </w:pPr>
    </w:p>
    <w:p w14:paraId="4B24EFD6" w14:textId="711BEAF3" w:rsidR="00874839" w:rsidRDefault="00874839" w:rsidP="00B14FA6">
      <w:pPr>
        <w:widowControl w:val="0"/>
        <w:spacing w:line="360" w:lineRule="auto"/>
        <w:ind w:right="-284"/>
        <w:rPr>
          <w:rFonts w:ascii="Arial" w:eastAsia="Arial" w:hAnsi="Arial" w:cs="Arial"/>
          <w:bCs/>
          <w:sz w:val="20"/>
          <w:szCs w:val="20"/>
        </w:rPr>
      </w:pPr>
      <w:r w:rsidRPr="00874839">
        <w:rPr>
          <w:rFonts w:ascii="Arial" w:eastAsia="Arial" w:hAnsi="Arial" w:cs="Arial"/>
          <w:bCs/>
          <w:noProof/>
          <w:sz w:val="20"/>
          <w:szCs w:val="20"/>
        </w:rPr>
        <mc:AlternateContent>
          <mc:Choice Requires="wps">
            <w:drawing>
              <wp:anchor distT="45720" distB="45720" distL="114300" distR="114300" simplePos="0" relativeHeight="251660289" behindDoc="0" locked="0" layoutInCell="1" allowOverlap="1" wp14:anchorId="57116031" wp14:editId="311A8AF8">
                <wp:simplePos x="0" y="0"/>
                <wp:positionH relativeFrom="column">
                  <wp:posOffset>2456180</wp:posOffset>
                </wp:positionH>
                <wp:positionV relativeFrom="paragraph">
                  <wp:posOffset>7620</wp:posOffset>
                </wp:positionV>
                <wp:extent cx="2360930" cy="1404620"/>
                <wp:effectExtent l="0" t="0" r="0" b="88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E52D4B5" w14:textId="79AB5209" w:rsidR="00874839" w:rsidRPr="00874839" w:rsidRDefault="00874839" w:rsidP="00874839">
                            <w:pPr>
                              <w:widowControl w:val="0"/>
                              <w:spacing w:line="360" w:lineRule="auto"/>
                              <w:ind w:right="-284"/>
                              <w:rPr>
                                <w:rFonts w:ascii="Arial" w:eastAsia="Arial" w:hAnsi="Arial" w:cs="Arial"/>
                                <w:bCs/>
                                <w:sz w:val="20"/>
                                <w:szCs w:val="20"/>
                              </w:rPr>
                            </w:pPr>
                            <w:r w:rsidRPr="00874839">
                              <w:rPr>
                                <w:rFonts w:ascii="Arial" w:eastAsia="Arial" w:hAnsi="Arial" w:cs="Arial"/>
                                <w:b/>
                                <w:sz w:val="20"/>
                                <w:szCs w:val="20"/>
                              </w:rPr>
                              <w:t xml:space="preserve">Solarlux-Schiebe-Dreh-System-Proline-T-01.jpg: </w:t>
                            </w:r>
                            <w:r w:rsidRPr="00874839">
                              <w:rPr>
                                <w:rFonts w:ascii="Arial" w:eastAsia="Arial" w:hAnsi="Arial" w:cs="Arial"/>
                                <w:bCs/>
                                <w:sz w:val="20"/>
                                <w:szCs w:val="20"/>
                              </w:rPr>
                              <w:t>Durch eine Optimierung des Profilsystems konnte Solarlux deren Ansichtsbreiten um ein Drittel reduzieren und so mehr Flexibilität bei der Gestaltung von Fassadenansichten ermöglichen. © Alek Pluta</w:t>
                            </w:r>
                          </w:p>
                          <w:p w14:paraId="3D36D35F" w14:textId="1C96F411" w:rsidR="00874839" w:rsidRDefault="0087483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116031" id="_x0000_t202" coordsize="21600,21600" o:spt="202" path="m,l,21600r21600,l21600,xe">
                <v:stroke joinstyle="miter"/>
                <v:path gradientshapeok="t" o:connecttype="rect"/>
              </v:shapetype>
              <v:shape id="Textfeld 2" o:spid="_x0000_s1028" type="#_x0000_t202" style="position:absolute;margin-left:193.4pt;margin-top:.6pt;width:185.9pt;height:110.6pt;z-index:25166028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" stroked="f">
                <v:textbox style="mso-fit-shape-to-text:t">
                  <w:txbxContent>
                    <w:p w14:paraId="3E52D4B5" w14:textId="79AB5209" w:rsidR="00874839" w:rsidRPr="00874839" w:rsidRDefault="00874839" w:rsidP="00874839">
                      <w:pPr>
                        <w:widowControl w:val="0"/>
                        <w:spacing w:line="360" w:lineRule="auto"/>
                        <w:ind w:right="-284"/>
                        <w:rPr>
                          <w:rFonts w:ascii="Arial" w:eastAsia="Arial" w:hAnsi="Arial" w:cs="Arial"/>
                          <w:bCs/>
                          <w:sz w:val="20"/>
                          <w:szCs w:val="20"/>
                        </w:rPr>
                      </w:pPr>
                      <w:r w:rsidRPr="00874839">
                        <w:rPr>
                          <w:rFonts w:ascii="Arial" w:eastAsia="Arial" w:hAnsi="Arial" w:cs="Arial"/>
                          <w:b/>
                          <w:sz w:val="20"/>
                          <w:szCs w:val="20"/>
                        </w:rPr>
                        <w:t xml:space="preserve">Solarlux-Schiebe-Dreh-System-Proline-T-01.jpg: </w:t>
                      </w:r>
                      <w:r w:rsidRPr="00874839">
                        <w:rPr>
                          <w:rFonts w:ascii="Arial" w:eastAsia="Arial" w:hAnsi="Arial" w:cs="Arial"/>
                          <w:bCs/>
                          <w:sz w:val="20"/>
                          <w:szCs w:val="20"/>
                        </w:rPr>
                        <w:t>Durch eine Optimierung des Profilsystems konnte Solarlux deren Ansichtsbreiten um ein Drittel reduzieren und so mehr Flexibilität bei der Gestaltung von Fassadenansichten ermöglichen. © Alek Pluta</w:t>
                      </w:r>
                    </w:p>
                    <w:p w14:paraId="3D36D35F" w14:textId="1C96F411" w:rsidR="00874839" w:rsidRDefault="00874839"/>
                  </w:txbxContent>
                </v:textbox>
                <w10:wrap type="square"/>
              </v:shape>
            </w:pict>
          </mc:Fallback>
        </mc:AlternateContent>
      </w:r>
      <w:r>
        <w:rPr>
          <w:noProof/>
        </w:rPr>
        <w:drawing>
          <wp:inline distT="0" distB="0" distL="0" distR="0" wp14:anchorId="5913B85F" wp14:editId="7D729CBA">
            <wp:extent cx="1836223" cy="2575560"/>
            <wp:effectExtent l="0" t="0" r="0" b="0"/>
            <wp:docPr id="1988444464" name="Grafik 1" descr="Ein Bild, das Gebäude, Fenster, Eigentum,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44464" name="Grafik 1" descr="Ein Bild, das Gebäude, Fenster, Eigentum, draußen enthält.&#10;&#10;Automatisch generierte Beschreibu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7701" cy="2577634"/>
                    </a:xfrm>
                    <a:prstGeom prst="rect">
                      <a:avLst/>
                    </a:prstGeom>
                    <a:noFill/>
                    <a:ln>
                      <a:noFill/>
                    </a:ln>
                  </pic:spPr>
                </pic:pic>
              </a:graphicData>
            </a:graphic>
          </wp:inline>
        </w:drawing>
      </w:r>
    </w:p>
    <w:p w14:paraId="62A5B315" w14:textId="77777777" w:rsidR="00874839" w:rsidRPr="00874839" w:rsidRDefault="00874839" w:rsidP="00B14FA6">
      <w:pPr>
        <w:widowControl w:val="0"/>
        <w:spacing w:line="360" w:lineRule="auto"/>
        <w:ind w:right="-284"/>
        <w:rPr>
          <w:rFonts w:ascii="Arial" w:eastAsia="Arial" w:hAnsi="Arial" w:cs="Arial"/>
          <w:bCs/>
          <w:sz w:val="20"/>
          <w:szCs w:val="20"/>
        </w:rPr>
      </w:pPr>
    </w:p>
    <w:p w14:paraId="4AD43739" w14:textId="33AA1BAA" w:rsidR="00874839" w:rsidRDefault="00874839">
      <w:pPr>
        <w:spacing w:after="160" w:line="259" w:lineRule="auto"/>
        <w:rPr>
          <w:rFonts w:ascii="Arial" w:eastAsia="Arial" w:hAnsi="Arial" w:cs="Arial"/>
          <w:bCs/>
          <w:sz w:val="20"/>
          <w:szCs w:val="20"/>
          <w:u w:val="single"/>
        </w:rPr>
      </w:pPr>
      <w:r w:rsidRPr="00874839">
        <w:rPr>
          <w:rFonts w:ascii="Arial" w:eastAsia="Arial" w:hAnsi="Arial" w:cs="Arial"/>
          <w:bCs/>
          <w:noProof/>
          <w:sz w:val="20"/>
          <w:szCs w:val="20"/>
        </w:rPr>
        <w:lastRenderedPageBreak/>
        <mc:AlternateContent>
          <mc:Choice Requires="wps">
            <w:drawing>
              <wp:anchor distT="45720" distB="45720" distL="114300" distR="114300" simplePos="0" relativeHeight="251662337" behindDoc="0" locked="0" layoutInCell="1" allowOverlap="1" wp14:anchorId="384E8169" wp14:editId="21A08BDE">
                <wp:simplePos x="0" y="0"/>
                <wp:positionH relativeFrom="column">
                  <wp:posOffset>2240280</wp:posOffset>
                </wp:positionH>
                <wp:positionV relativeFrom="paragraph">
                  <wp:posOffset>0</wp:posOffset>
                </wp:positionV>
                <wp:extent cx="2360930" cy="1404620"/>
                <wp:effectExtent l="0" t="0" r="0" b="8890"/>
                <wp:wrapSquare wrapText="bothSides"/>
                <wp:docPr id="14805519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3F69C27" w14:textId="137DC896" w:rsidR="00874839" w:rsidRDefault="00874839" w:rsidP="00874839">
                            <w:pPr>
                              <w:spacing w:line="360" w:lineRule="auto"/>
                            </w:pPr>
                            <w:r w:rsidRPr="00874839">
                              <w:rPr>
                                <w:rFonts w:ascii="Arial" w:eastAsia="Arial" w:hAnsi="Arial" w:cs="Arial"/>
                                <w:b/>
                                <w:sz w:val="20"/>
                                <w:szCs w:val="20"/>
                              </w:rPr>
                              <w:t xml:space="preserve">Solarlux-Proline-T-Mega-Glasstaerke-18mm.jpg: </w:t>
                            </w:r>
                            <w:r w:rsidRPr="00874839">
                              <w:rPr>
                                <w:rFonts w:ascii="Arial" w:eastAsia="Arial" w:hAnsi="Arial" w:cs="Arial"/>
                                <w:bCs/>
                                <w:sz w:val="20"/>
                                <w:szCs w:val="20"/>
                              </w:rPr>
                              <w:t>Als Branchen-Innovation können in die Ausführung Proline T Mega bis zu 18 mm starke Verbund-Sicherheitsgläser (VSG) eingesetzt werden – für besonders hohe Anforderungen an den Schallschutz. © Solarlux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84E8169" id="_x0000_s1029" type="#_x0000_t202" style="position:absolute;margin-left:176.4pt;margin-top:0;width:185.9pt;height:110.6pt;z-index:25166233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" stroked="f">
                <v:textbox style="mso-fit-shape-to-text:t">
                  <w:txbxContent>
                    <w:p w14:paraId="63F69C27" w14:textId="137DC896" w:rsidR="00874839" w:rsidRDefault="00874839" w:rsidP="00874839">
                      <w:pPr>
                        <w:spacing w:line="360" w:lineRule="auto"/>
                      </w:pPr>
                      <w:r w:rsidRPr="00874839">
                        <w:rPr>
                          <w:rFonts w:ascii="Arial" w:eastAsia="Arial" w:hAnsi="Arial" w:cs="Arial"/>
                          <w:b/>
                          <w:sz w:val="20"/>
                          <w:szCs w:val="20"/>
                        </w:rPr>
                        <w:t xml:space="preserve">Solarlux-Proline-T-Mega-Glasstaerke-18mm.jpg: </w:t>
                      </w:r>
                      <w:r w:rsidRPr="00874839">
                        <w:rPr>
                          <w:rFonts w:ascii="Arial" w:eastAsia="Arial" w:hAnsi="Arial" w:cs="Arial"/>
                          <w:bCs/>
                          <w:sz w:val="20"/>
                          <w:szCs w:val="20"/>
                        </w:rPr>
                        <w:t>Als Branchen-Innovation können in die Ausführung Proline T Mega bis zu 18 mm starke Verbund-Sicherheitsgläser (VSG) eingesetzt werden – für besonders hohe Anforderungen an den Schallschutz. © Solarlux</w:t>
                      </w:r>
                    </w:p>
                  </w:txbxContent>
                </v:textbox>
                <w10:wrap type="square"/>
              </v:shape>
            </w:pict>
          </mc:Fallback>
        </mc:AlternateContent>
      </w:r>
      <w:r>
        <w:rPr>
          <w:noProof/>
        </w:rPr>
        <w:drawing>
          <wp:inline distT="0" distB="0" distL="0" distR="0" wp14:anchorId="747CC1CA" wp14:editId="710DCC10">
            <wp:extent cx="2077085" cy="2923557"/>
            <wp:effectExtent l="0" t="0" r="0" b="0"/>
            <wp:docPr id="1694275828" name="Grafik 3" descr="Ein Bild, das Verbindungsstück, Design enthält.&#10;&#10;Automatisch generierte Beschreibung mit mittler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75828" name="Grafik 3" descr="Ein Bild, das Verbindungsstück, Design enthält.&#10;&#10;Automatisch generierte Beschreibung mit mittlerer Zuverlässigkei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81648" cy="2929979"/>
                    </a:xfrm>
                    <a:prstGeom prst="rect">
                      <a:avLst/>
                    </a:prstGeom>
                    <a:noFill/>
                    <a:ln>
                      <a:noFill/>
                    </a:ln>
                  </pic:spPr>
                </pic:pic>
              </a:graphicData>
            </a:graphic>
          </wp:inline>
        </w:drawing>
      </w:r>
    </w:p>
    <w:p w14:paraId="5E54DB21" w14:textId="6977CAC0" w:rsidR="00874839" w:rsidRDefault="00874839">
      <w:pPr>
        <w:spacing w:after="160" w:line="259" w:lineRule="auto"/>
        <w:rPr>
          <w:rFonts w:ascii="Arial" w:eastAsia="Arial" w:hAnsi="Arial" w:cs="Arial"/>
          <w:bCs/>
          <w:sz w:val="20"/>
          <w:szCs w:val="20"/>
          <w:u w:val="single"/>
        </w:rPr>
      </w:pPr>
      <w:r>
        <w:rPr>
          <w:noProof/>
        </w:rPr>
        <w:drawing>
          <wp:inline distT="0" distB="0" distL="0" distR="0" wp14:anchorId="6A0DE3EE" wp14:editId="73B3AB2F">
            <wp:extent cx="2930091" cy="2095355"/>
            <wp:effectExtent l="0" t="0" r="3810" b="635"/>
            <wp:docPr id="360158619" name="Grafik 2" descr="Ein Bild, das Desig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58619" name="Grafik 2" descr="Ein Bild, das Design, Im Haus enthält.&#10;&#10;Automatisch generierte Beschreibu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38447" cy="2101330"/>
                    </a:xfrm>
                    <a:prstGeom prst="rect">
                      <a:avLst/>
                    </a:prstGeom>
                    <a:noFill/>
                    <a:ln>
                      <a:noFill/>
                    </a:ln>
                  </pic:spPr>
                </pic:pic>
              </a:graphicData>
            </a:graphic>
          </wp:inline>
        </w:drawing>
      </w:r>
    </w:p>
    <w:p w14:paraId="3EFFB28D" w14:textId="1FC94EDF" w:rsidR="00874839" w:rsidRPr="00874839" w:rsidRDefault="00874839" w:rsidP="00874839">
      <w:pPr>
        <w:spacing w:after="160" w:line="360" w:lineRule="auto"/>
        <w:rPr>
          <w:rFonts w:ascii="Arial" w:eastAsia="Arial" w:hAnsi="Arial" w:cs="Arial"/>
          <w:bCs/>
          <w:sz w:val="20"/>
          <w:szCs w:val="20"/>
        </w:rPr>
      </w:pPr>
      <w:r w:rsidRPr="00874839">
        <w:rPr>
          <w:rFonts w:ascii="Arial" w:eastAsia="Arial" w:hAnsi="Arial" w:cs="Arial"/>
          <w:b/>
          <w:sz w:val="20"/>
          <w:szCs w:val="20"/>
        </w:rPr>
        <w:t xml:space="preserve">Solarlux-Schiebe-Dreh-System-Proline-T-Gesamtansicht.jpg: </w:t>
      </w:r>
      <w:r w:rsidRPr="00874839">
        <w:rPr>
          <w:rFonts w:ascii="Arial" w:eastAsia="Arial" w:hAnsi="Arial" w:cs="Arial"/>
          <w:bCs/>
          <w:sz w:val="20"/>
          <w:szCs w:val="20"/>
        </w:rPr>
        <w:t>Die maximale Elementgröße liegt bei 3 m in der Höhe und 1 m in der Breite. Die bedienungsfreundliche Funktionsweise beruht auf dem Schiebe-Dreh-Prinzip, mit dem sie als schmale Glaspakete seitlich geparkt werden können. So sind Fassaden- und Balkonöffnungen von 100 Prozent möglich. © Solarlux</w:t>
      </w:r>
    </w:p>
    <w:p w14:paraId="6AA38550" w14:textId="77777777" w:rsidR="00874839" w:rsidRDefault="00874839" w:rsidP="00B14FA6">
      <w:pPr>
        <w:widowControl w:val="0"/>
        <w:spacing w:line="360" w:lineRule="auto"/>
        <w:ind w:right="-284"/>
        <w:rPr>
          <w:rFonts w:ascii="Arial" w:eastAsia="Arial" w:hAnsi="Arial" w:cs="Arial"/>
          <w:bCs/>
          <w:sz w:val="20"/>
          <w:szCs w:val="20"/>
          <w:u w:val="single"/>
        </w:rPr>
      </w:pPr>
    </w:p>
    <w:p w14:paraId="4FB667C3" w14:textId="77777777" w:rsidR="00874839" w:rsidRDefault="00874839" w:rsidP="00874839">
      <w:pPr>
        <w:spacing w:after="160" w:line="259" w:lineRule="auto"/>
        <w:rPr>
          <w:rFonts w:ascii="Arial" w:eastAsia="Arial" w:hAnsi="Arial" w:cs="Arial"/>
          <w:bCs/>
          <w:sz w:val="20"/>
          <w:szCs w:val="20"/>
          <w:u w:val="single"/>
        </w:rPr>
      </w:pPr>
    </w:p>
    <w:p w14:paraId="52A7DF02" w14:textId="77777777" w:rsidR="00874839" w:rsidRDefault="00874839" w:rsidP="00874839">
      <w:pPr>
        <w:spacing w:after="160" w:line="259" w:lineRule="auto"/>
        <w:rPr>
          <w:rFonts w:ascii="Arial" w:eastAsia="Arial" w:hAnsi="Arial" w:cs="Arial"/>
          <w:bCs/>
          <w:sz w:val="20"/>
          <w:szCs w:val="20"/>
          <w:u w:val="single"/>
        </w:rPr>
      </w:pPr>
    </w:p>
    <w:p w14:paraId="1CA4A752" w14:textId="77777777" w:rsidR="00874839" w:rsidRDefault="00874839" w:rsidP="00874839">
      <w:pPr>
        <w:spacing w:after="160" w:line="259" w:lineRule="auto"/>
        <w:rPr>
          <w:rFonts w:ascii="Arial" w:eastAsia="Arial" w:hAnsi="Arial" w:cs="Arial"/>
          <w:bCs/>
          <w:sz w:val="20"/>
          <w:szCs w:val="20"/>
          <w:u w:val="single"/>
        </w:rPr>
      </w:pPr>
    </w:p>
    <w:p w14:paraId="260A3481" w14:textId="0D2341EC" w:rsidR="0069274E" w:rsidRPr="00FE3C44" w:rsidRDefault="0069274E" w:rsidP="00874839">
      <w:pPr>
        <w:spacing w:after="160" w:line="259" w:lineRule="auto"/>
        <w:rPr>
          <w:rFonts w:ascii="Arial" w:eastAsia="Arial" w:hAnsi="Arial" w:cs="Arial"/>
          <w:bCs/>
          <w:sz w:val="20"/>
          <w:szCs w:val="20"/>
          <w:u w:val="single"/>
        </w:rPr>
      </w:pPr>
      <w:r w:rsidRPr="00FE3C44">
        <w:rPr>
          <w:rFonts w:ascii="Arial" w:eastAsia="Arial" w:hAnsi="Arial" w:cs="Arial"/>
          <w:bCs/>
          <w:sz w:val="20"/>
          <w:szCs w:val="20"/>
          <w:u w:val="single"/>
        </w:rPr>
        <w:lastRenderedPageBreak/>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2"/>
                    </pic:cNvP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4"/>
      <w:footerReference w:type="default" r:id="rId35"/>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852D" w14:textId="77777777" w:rsidR="006334E0" w:rsidRPr="00FE3C44" w:rsidRDefault="006334E0" w:rsidP="009D7880">
      <w:r w:rsidRPr="00FE3C44">
        <w:separator/>
      </w:r>
    </w:p>
  </w:endnote>
  <w:endnote w:type="continuationSeparator" w:id="0">
    <w:p w14:paraId="76D50EC2" w14:textId="77777777" w:rsidR="006334E0" w:rsidRPr="00FE3C44" w:rsidRDefault="006334E0" w:rsidP="009D7880">
      <w:r w:rsidRPr="00FE3C44">
        <w:continuationSeparator/>
      </w:r>
    </w:p>
  </w:endnote>
  <w:endnote w:type="continuationNotice" w:id="1">
    <w:p w14:paraId="4257BCE5" w14:textId="77777777" w:rsidR="006334E0" w:rsidRPr="00FE3C44" w:rsidRDefault="00633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B158" w14:textId="77777777" w:rsidR="006334E0" w:rsidRPr="00FE3C44" w:rsidRDefault="006334E0" w:rsidP="009D7880">
      <w:r w:rsidRPr="00FE3C44">
        <w:separator/>
      </w:r>
    </w:p>
  </w:footnote>
  <w:footnote w:type="continuationSeparator" w:id="0">
    <w:p w14:paraId="344FE107" w14:textId="77777777" w:rsidR="006334E0" w:rsidRPr="00FE3C44" w:rsidRDefault="006334E0" w:rsidP="009D7880">
      <w:r w:rsidRPr="00FE3C44">
        <w:continuationSeparator/>
      </w:r>
    </w:p>
  </w:footnote>
  <w:footnote w:type="continuationNotice" w:id="1">
    <w:p w14:paraId="6A9F3295" w14:textId="77777777" w:rsidR="006334E0" w:rsidRPr="00FE3C44" w:rsidRDefault="006334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10EF3"/>
    <w:rsid w:val="00017F63"/>
    <w:rsid w:val="00024F13"/>
    <w:rsid w:val="00025EBB"/>
    <w:rsid w:val="000304A2"/>
    <w:rsid w:val="00032ABA"/>
    <w:rsid w:val="000337BA"/>
    <w:rsid w:val="000448AB"/>
    <w:rsid w:val="00045BAE"/>
    <w:rsid w:val="00053ABA"/>
    <w:rsid w:val="000556A1"/>
    <w:rsid w:val="00060A84"/>
    <w:rsid w:val="00063EB4"/>
    <w:rsid w:val="00067DB9"/>
    <w:rsid w:val="00072282"/>
    <w:rsid w:val="00080BB9"/>
    <w:rsid w:val="000816C9"/>
    <w:rsid w:val="000834EB"/>
    <w:rsid w:val="00083966"/>
    <w:rsid w:val="00086347"/>
    <w:rsid w:val="0009522B"/>
    <w:rsid w:val="00096E63"/>
    <w:rsid w:val="000A0153"/>
    <w:rsid w:val="000B7D05"/>
    <w:rsid w:val="000C2605"/>
    <w:rsid w:val="000C5C59"/>
    <w:rsid w:val="000C7320"/>
    <w:rsid w:val="000E3438"/>
    <w:rsid w:val="0011069E"/>
    <w:rsid w:val="00112F7E"/>
    <w:rsid w:val="0011599F"/>
    <w:rsid w:val="00116F19"/>
    <w:rsid w:val="00122039"/>
    <w:rsid w:val="00133837"/>
    <w:rsid w:val="001345C9"/>
    <w:rsid w:val="001353D8"/>
    <w:rsid w:val="001402CC"/>
    <w:rsid w:val="00143FFE"/>
    <w:rsid w:val="00151465"/>
    <w:rsid w:val="00151550"/>
    <w:rsid w:val="001666DE"/>
    <w:rsid w:val="00171BA7"/>
    <w:rsid w:val="00181B29"/>
    <w:rsid w:val="00190FD8"/>
    <w:rsid w:val="001917F2"/>
    <w:rsid w:val="00193692"/>
    <w:rsid w:val="0019406B"/>
    <w:rsid w:val="001A495E"/>
    <w:rsid w:val="001B1F82"/>
    <w:rsid w:val="001B595A"/>
    <w:rsid w:val="001C3C48"/>
    <w:rsid w:val="001C415B"/>
    <w:rsid w:val="001C4527"/>
    <w:rsid w:val="001C45D0"/>
    <w:rsid w:val="001E0FF4"/>
    <w:rsid w:val="001E25B3"/>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30F27"/>
    <w:rsid w:val="00240C09"/>
    <w:rsid w:val="00240C50"/>
    <w:rsid w:val="0025267A"/>
    <w:rsid w:val="002729F3"/>
    <w:rsid w:val="00294796"/>
    <w:rsid w:val="00295B73"/>
    <w:rsid w:val="00295FEC"/>
    <w:rsid w:val="002A2384"/>
    <w:rsid w:val="002B0F65"/>
    <w:rsid w:val="002B1857"/>
    <w:rsid w:val="002B1D71"/>
    <w:rsid w:val="002C3A6B"/>
    <w:rsid w:val="002D1E53"/>
    <w:rsid w:val="002D7006"/>
    <w:rsid w:val="002D79F2"/>
    <w:rsid w:val="002E1BCF"/>
    <w:rsid w:val="002E6BA5"/>
    <w:rsid w:val="002F0502"/>
    <w:rsid w:val="002F1281"/>
    <w:rsid w:val="002F270F"/>
    <w:rsid w:val="002F656C"/>
    <w:rsid w:val="00301F25"/>
    <w:rsid w:val="003043A5"/>
    <w:rsid w:val="00307FB4"/>
    <w:rsid w:val="003139AB"/>
    <w:rsid w:val="00317559"/>
    <w:rsid w:val="00321434"/>
    <w:rsid w:val="0032230F"/>
    <w:rsid w:val="0033086C"/>
    <w:rsid w:val="00330D04"/>
    <w:rsid w:val="00333BD6"/>
    <w:rsid w:val="00336140"/>
    <w:rsid w:val="00337702"/>
    <w:rsid w:val="00341A9F"/>
    <w:rsid w:val="00343C66"/>
    <w:rsid w:val="003446A6"/>
    <w:rsid w:val="00350460"/>
    <w:rsid w:val="0036705D"/>
    <w:rsid w:val="00376192"/>
    <w:rsid w:val="00383906"/>
    <w:rsid w:val="00384122"/>
    <w:rsid w:val="00386116"/>
    <w:rsid w:val="00394FA1"/>
    <w:rsid w:val="00395584"/>
    <w:rsid w:val="0039608E"/>
    <w:rsid w:val="003A2F09"/>
    <w:rsid w:val="003A7DCD"/>
    <w:rsid w:val="003B59B1"/>
    <w:rsid w:val="003D113B"/>
    <w:rsid w:val="003D1757"/>
    <w:rsid w:val="003D5C61"/>
    <w:rsid w:val="003E57B9"/>
    <w:rsid w:val="004015DF"/>
    <w:rsid w:val="004068DC"/>
    <w:rsid w:val="004144F4"/>
    <w:rsid w:val="00417BFA"/>
    <w:rsid w:val="00423D10"/>
    <w:rsid w:val="00440715"/>
    <w:rsid w:val="0044251B"/>
    <w:rsid w:val="0044451D"/>
    <w:rsid w:val="00446BB3"/>
    <w:rsid w:val="00446DA7"/>
    <w:rsid w:val="0045047B"/>
    <w:rsid w:val="00461FC1"/>
    <w:rsid w:val="00464FEE"/>
    <w:rsid w:val="00497B4D"/>
    <w:rsid w:val="004A09A0"/>
    <w:rsid w:val="004B080D"/>
    <w:rsid w:val="004B2ED9"/>
    <w:rsid w:val="004B327B"/>
    <w:rsid w:val="004B3502"/>
    <w:rsid w:val="004B4C59"/>
    <w:rsid w:val="004C5131"/>
    <w:rsid w:val="004C70B1"/>
    <w:rsid w:val="004D2623"/>
    <w:rsid w:val="004D5382"/>
    <w:rsid w:val="004F1DB6"/>
    <w:rsid w:val="004F2169"/>
    <w:rsid w:val="004F35D2"/>
    <w:rsid w:val="004F37B3"/>
    <w:rsid w:val="005023DA"/>
    <w:rsid w:val="00514891"/>
    <w:rsid w:val="005173B1"/>
    <w:rsid w:val="00523533"/>
    <w:rsid w:val="0052592A"/>
    <w:rsid w:val="00525D95"/>
    <w:rsid w:val="005260E4"/>
    <w:rsid w:val="005304C7"/>
    <w:rsid w:val="00533BA2"/>
    <w:rsid w:val="005346DA"/>
    <w:rsid w:val="005371A0"/>
    <w:rsid w:val="00537F39"/>
    <w:rsid w:val="005456F4"/>
    <w:rsid w:val="0055064A"/>
    <w:rsid w:val="00555E60"/>
    <w:rsid w:val="0056322A"/>
    <w:rsid w:val="005709EA"/>
    <w:rsid w:val="00575860"/>
    <w:rsid w:val="00576473"/>
    <w:rsid w:val="00576BB0"/>
    <w:rsid w:val="00577335"/>
    <w:rsid w:val="00581468"/>
    <w:rsid w:val="0058399B"/>
    <w:rsid w:val="005A2876"/>
    <w:rsid w:val="005A530B"/>
    <w:rsid w:val="005A6C82"/>
    <w:rsid w:val="005B318E"/>
    <w:rsid w:val="005C65AC"/>
    <w:rsid w:val="005D2D7E"/>
    <w:rsid w:val="005D758B"/>
    <w:rsid w:val="005E13A4"/>
    <w:rsid w:val="005F0B8E"/>
    <w:rsid w:val="005F2C7F"/>
    <w:rsid w:val="005F3456"/>
    <w:rsid w:val="005F75FA"/>
    <w:rsid w:val="00605903"/>
    <w:rsid w:val="00612653"/>
    <w:rsid w:val="00614554"/>
    <w:rsid w:val="00617A91"/>
    <w:rsid w:val="0062066E"/>
    <w:rsid w:val="00621A41"/>
    <w:rsid w:val="006263C8"/>
    <w:rsid w:val="006306D1"/>
    <w:rsid w:val="006334E0"/>
    <w:rsid w:val="00650246"/>
    <w:rsid w:val="006562B9"/>
    <w:rsid w:val="0066065D"/>
    <w:rsid w:val="00664F18"/>
    <w:rsid w:val="00664FBD"/>
    <w:rsid w:val="00665E16"/>
    <w:rsid w:val="00681089"/>
    <w:rsid w:val="00681E4D"/>
    <w:rsid w:val="006836C9"/>
    <w:rsid w:val="00685887"/>
    <w:rsid w:val="00687368"/>
    <w:rsid w:val="0069274E"/>
    <w:rsid w:val="006B287F"/>
    <w:rsid w:val="006B303C"/>
    <w:rsid w:val="006B4044"/>
    <w:rsid w:val="006B525E"/>
    <w:rsid w:val="006C1050"/>
    <w:rsid w:val="006C6545"/>
    <w:rsid w:val="006D66F4"/>
    <w:rsid w:val="006D6818"/>
    <w:rsid w:val="006D76E5"/>
    <w:rsid w:val="006E07F9"/>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433BA"/>
    <w:rsid w:val="00745547"/>
    <w:rsid w:val="00746B59"/>
    <w:rsid w:val="00752284"/>
    <w:rsid w:val="0075410D"/>
    <w:rsid w:val="007709E0"/>
    <w:rsid w:val="00772667"/>
    <w:rsid w:val="0077417C"/>
    <w:rsid w:val="0078529C"/>
    <w:rsid w:val="00791612"/>
    <w:rsid w:val="007A72C3"/>
    <w:rsid w:val="007C0A1C"/>
    <w:rsid w:val="007C327B"/>
    <w:rsid w:val="007C6A6B"/>
    <w:rsid w:val="007C7B77"/>
    <w:rsid w:val="007D4557"/>
    <w:rsid w:val="007D4D22"/>
    <w:rsid w:val="007E33BB"/>
    <w:rsid w:val="00804709"/>
    <w:rsid w:val="00804C33"/>
    <w:rsid w:val="008119D5"/>
    <w:rsid w:val="0081229F"/>
    <w:rsid w:val="008140A2"/>
    <w:rsid w:val="008141B2"/>
    <w:rsid w:val="008262EC"/>
    <w:rsid w:val="0082661D"/>
    <w:rsid w:val="00830FEA"/>
    <w:rsid w:val="00832F74"/>
    <w:rsid w:val="0083594A"/>
    <w:rsid w:val="00840BB6"/>
    <w:rsid w:val="00847EC4"/>
    <w:rsid w:val="00863A5B"/>
    <w:rsid w:val="00872BF7"/>
    <w:rsid w:val="00874839"/>
    <w:rsid w:val="00876BC6"/>
    <w:rsid w:val="00880239"/>
    <w:rsid w:val="008802F8"/>
    <w:rsid w:val="0088497C"/>
    <w:rsid w:val="00885BFB"/>
    <w:rsid w:val="00887879"/>
    <w:rsid w:val="00891CD4"/>
    <w:rsid w:val="00896581"/>
    <w:rsid w:val="008B2851"/>
    <w:rsid w:val="008B2F38"/>
    <w:rsid w:val="008B50D1"/>
    <w:rsid w:val="008B66AB"/>
    <w:rsid w:val="008B70ED"/>
    <w:rsid w:val="008C19ED"/>
    <w:rsid w:val="008C72AF"/>
    <w:rsid w:val="008E56CD"/>
    <w:rsid w:val="008F1CFF"/>
    <w:rsid w:val="008F4FC9"/>
    <w:rsid w:val="009034DA"/>
    <w:rsid w:val="009040B2"/>
    <w:rsid w:val="009112F0"/>
    <w:rsid w:val="00916A60"/>
    <w:rsid w:val="009267C5"/>
    <w:rsid w:val="00937AF7"/>
    <w:rsid w:val="00941780"/>
    <w:rsid w:val="009520B9"/>
    <w:rsid w:val="009547E0"/>
    <w:rsid w:val="009844BB"/>
    <w:rsid w:val="009945F8"/>
    <w:rsid w:val="00994DC7"/>
    <w:rsid w:val="009A0638"/>
    <w:rsid w:val="009A62E8"/>
    <w:rsid w:val="009B19A4"/>
    <w:rsid w:val="009B2E86"/>
    <w:rsid w:val="009B66F5"/>
    <w:rsid w:val="009C1BE9"/>
    <w:rsid w:val="009C617B"/>
    <w:rsid w:val="009D415C"/>
    <w:rsid w:val="009D77AC"/>
    <w:rsid w:val="009D7880"/>
    <w:rsid w:val="009E7711"/>
    <w:rsid w:val="009E7E7E"/>
    <w:rsid w:val="00A01939"/>
    <w:rsid w:val="00A04CDD"/>
    <w:rsid w:val="00A0525C"/>
    <w:rsid w:val="00A1020D"/>
    <w:rsid w:val="00A12206"/>
    <w:rsid w:val="00A16641"/>
    <w:rsid w:val="00A16E92"/>
    <w:rsid w:val="00A26E0E"/>
    <w:rsid w:val="00A33812"/>
    <w:rsid w:val="00A441D2"/>
    <w:rsid w:val="00A55220"/>
    <w:rsid w:val="00A70E00"/>
    <w:rsid w:val="00A726D7"/>
    <w:rsid w:val="00A738B9"/>
    <w:rsid w:val="00A74F9F"/>
    <w:rsid w:val="00A84D27"/>
    <w:rsid w:val="00A87C28"/>
    <w:rsid w:val="00A9049B"/>
    <w:rsid w:val="00A95BDE"/>
    <w:rsid w:val="00AA1453"/>
    <w:rsid w:val="00AA2F56"/>
    <w:rsid w:val="00AA431E"/>
    <w:rsid w:val="00AA6152"/>
    <w:rsid w:val="00AA69EE"/>
    <w:rsid w:val="00AB06DE"/>
    <w:rsid w:val="00AB08FA"/>
    <w:rsid w:val="00AC30A4"/>
    <w:rsid w:val="00AC7688"/>
    <w:rsid w:val="00AD1879"/>
    <w:rsid w:val="00AD1B01"/>
    <w:rsid w:val="00AD5FA9"/>
    <w:rsid w:val="00AD7B65"/>
    <w:rsid w:val="00AE0111"/>
    <w:rsid w:val="00AE64A2"/>
    <w:rsid w:val="00AF2A7E"/>
    <w:rsid w:val="00B04C32"/>
    <w:rsid w:val="00B060EF"/>
    <w:rsid w:val="00B10D1F"/>
    <w:rsid w:val="00B14FA6"/>
    <w:rsid w:val="00B15DEC"/>
    <w:rsid w:val="00B178D1"/>
    <w:rsid w:val="00B23CF0"/>
    <w:rsid w:val="00B25A46"/>
    <w:rsid w:val="00B323E8"/>
    <w:rsid w:val="00B52BB4"/>
    <w:rsid w:val="00B61508"/>
    <w:rsid w:val="00B65592"/>
    <w:rsid w:val="00B77B87"/>
    <w:rsid w:val="00B91013"/>
    <w:rsid w:val="00BA1788"/>
    <w:rsid w:val="00BA37E9"/>
    <w:rsid w:val="00BA6DC6"/>
    <w:rsid w:val="00BC51B2"/>
    <w:rsid w:val="00BD11D5"/>
    <w:rsid w:val="00BD1DF5"/>
    <w:rsid w:val="00BD5C3D"/>
    <w:rsid w:val="00BD7026"/>
    <w:rsid w:val="00BE45F6"/>
    <w:rsid w:val="00BE5F24"/>
    <w:rsid w:val="00BF078E"/>
    <w:rsid w:val="00BF7039"/>
    <w:rsid w:val="00C02E38"/>
    <w:rsid w:val="00C04404"/>
    <w:rsid w:val="00C07A1E"/>
    <w:rsid w:val="00C10EDD"/>
    <w:rsid w:val="00C1369F"/>
    <w:rsid w:val="00C15C59"/>
    <w:rsid w:val="00C234B1"/>
    <w:rsid w:val="00C33436"/>
    <w:rsid w:val="00C37102"/>
    <w:rsid w:val="00C5275E"/>
    <w:rsid w:val="00C53548"/>
    <w:rsid w:val="00C549CE"/>
    <w:rsid w:val="00C55366"/>
    <w:rsid w:val="00C642AF"/>
    <w:rsid w:val="00C654F0"/>
    <w:rsid w:val="00C729B4"/>
    <w:rsid w:val="00C82B64"/>
    <w:rsid w:val="00C8621E"/>
    <w:rsid w:val="00C923B2"/>
    <w:rsid w:val="00C953D0"/>
    <w:rsid w:val="00CA2E64"/>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21509"/>
    <w:rsid w:val="00D42ED3"/>
    <w:rsid w:val="00D543DC"/>
    <w:rsid w:val="00D544AD"/>
    <w:rsid w:val="00D67903"/>
    <w:rsid w:val="00D754FF"/>
    <w:rsid w:val="00D75F4B"/>
    <w:rsid w:val="00D93895"/>
    <w:rsid w:val="00DB3311"/>
    <w:rsid w:val="00DC52AD"/>
    <w:rsid w:val="00DE04CA"/>
    <w:rsid w:val="00DE6ABE"/>
    <w:rsid w:val="00DF1FD9"/>
    <w:rsid w:val="00DF313E"/>
    <w:rsid w:val="00DF562D"/>
    <w:rsid w:val="00E00ACC"/>
    <w:rsid w:val="00E117EF"/>
    <w:rsid w:val="00E2756A"/>
    <w:rsid w:val="00E32EBE"/>
    <w:rsid w:val="00E372BD"/>
    <w:rsid w:val="00E4659F"/>
    <w:rsid w:val="00E5109C"/>
    <w:rsid w:val="00E56041"/>
    <w:rsid w:val="00E56689"/>
    <w:rsid w:val="00E57175"/>
    <w:rsid w:val="00E60737"/>
    <w:rsid w:val="00E62CC6"/>
    <w:rsid w:val="00E8192C"/>
    <w:rsid w:val="00E9009E"/>
    <w:rsid w:val="00E942F8"/>
    <w:rsid w:val="00E95EBC"/>
    <w:rsid w:val="00E97EC4"/>
    <w:rsid w:val="00E97F00"/>
    <w:rsid w:val="00EA2C05"/>
    <w:rsid w:val="00EC460F"/>
    <w:rsid w:val="00ED75A4"/>
    <w:rsid w:val="00ED7BD3"/>
    <w:rsid w:val="00EE5FA0"/>
    <w:rsid w:val="00F15004"/>
    <w:rsid w:val="00F240DC"/>
    <w:rsid w:val="00F56284"/>
    <w:rsid w:val="00F57F7A"/>
    <w:rsid w:val="00F61F3E"/>
    <w:rsid w:val="00F66805"/>
    <w:rsid w:val="00F9232A"/>
    <w:rsid w:val="00F951F0"/>
    <w:rsid w:val="00F953BF"/>
    <w:rsid w:val="00FA0EE8"/>
    <w:rsid w:val="00FA27AE"/>
    <w:rsid w:val="00FA4DB1"/>
    <w:rsid w:val="00FB294A"/>
    <w:rsid w:val="00FC064A"/>
    <w:rsid w:val="00FD038A"/>
    <w:rsid w:val="00FE3C44"/>
    <w:rsid w:val="00FF2209"/>
    <w:rsid w:val="00FF368D"/>
    <w:rsid w:val="00FF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hyperlink" Target="https://www.facebook.com/solarlux/" TargetMode="Externa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8.jpeg"/><Relationship Id="rId33"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instagram.com/solarlux/" TargetMode="External"/><Relationship Id="rId32" Type="http://schemas.openxmlformats.org/officeDocument/2006/relationships/hyperlink" Target="https://de.pinterest.com/solarlu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hyperlink" Target="https://www.linkedin.com/company/solarluxgmb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hyperlink" Target="https://www.youtube.com/@solarlux"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723</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3</cp:revision>
  <cp:lastPrinted>2024-12-12T15:33:00Z</cp:lastPrinted>
  <dcterms:created xsi:type="dcterms:W3CDTF">2025-02-21T10:59:00Z</dcterms:created>
  <dcterms:modified xsi:type="dcterms:W3CDTF">2025-02-21T11:08:00Z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